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754"/>
        <w:gridCol w:w="9457"/>
      </w:tblGrid>
      <w:tr w:rsidR="008E0081" w:rsidTr="00EF0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8E0081" w:rsidRPr="00E913CB" w:rsidRDefault="006800CC" w:rsidP="008E0081">
            <w:pPr>
              <w:bidi/>
              <w:rPr>
                <w:sz w:val="18"/>
                <w:szCs w:val="16"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ردیف</w:t>
            </w:r>
          </w:p>
        </w:tc>
        <w:tc>
          <w:tcPr>
            <w:tcW w:w="754" w:type="dxa"/>
          </w:tcPr>
          <w:p w:rsidR="008E0081" w:rsidRDefault="006800CC" w:rsidP="008E00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9457" w:type="dxa"/>
          </w:tcPr>
          <w:p w:rsidR="008E0081" w:rsidRPr="006800CC" w:rsidRDefault="006800CC" w:rsidP="00680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  <w:rtl/>
              </w:rPr>
            </w:pPr>
            <w:r w:rsidRPr="006800CC">
              <w:rPr>
                <w:rFonts w:hint="cs"/>
                <w:sz w:val="28"/>
                <w:szCs w:val="24"/>
                <w:rtl/>
              </w:rPr>
              <w:t>عناوین چالشها و فرصتها</w:t>
            </w:r>
          </w:p>
        </w:tc>
      </w:tr>
      <w:tr w:rsidR="00C84ACB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</w:t>
            </w:r>
          </w:p>
        </w:tc>
        <w:tc>
          <w:tcPr>
            <w:tcW w:w="754" w:type="dxa"/>
            <w:vMerge w:val="restart"/>
            <w:shd w:val="clear" w:color="auto" w:fill="B4C6E7" w:themeFill="accent5" w:themeFillTint="66"/>
            <w:textDirection w:val="tbRl"/>
          </w:tcPr>
          <w:p w:rsidR="00C84ACB" w:rsidRDefault="00A06025" w:rsidP="00C84ACB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سرمایه</w:t>
            </w:r>
            <w:r w:rsidR="00C84ACB">
              <w:rPr>
                <w:rFonts w:hint="cs"/>
                <w:rtl/>
              </w:rPr>
              <w:t xml:space="preserve"> انسانی</w:t>
            </w:r>
          </w:p>
        </w:tc>
        <w:tc>
          <w:tcPr>
            <w:tcW w:w="9457" w:type="dxa"/>
          </w:tcPr>
          <w:p w:rsidR="00C84ACB" w:rsidRDefault="007677F8" w:rsidP="005E7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پیاده سازی </w:t>
            </w:r>
            <w:r w:rsidR="00C84ACB">
              <w:rPr>
                <w:rFonts w:hint="cs"/>
                <w:rtl/>
              </w:rPr>
              <w:t>نظام یکپارچه</w:t>
            </w:r>
            <w:r>
              <w:rPr>
                <w:rFonts w:hint="cs"/>
                <w:rtl/>
              </w:rPr>
              <w:t xml:space="preserve"> بهینه شده</w:t>
            </w:r>
            <w:r w:rsidR="00C84ACB">
              <w:rPr>
                <w:rFonts w:hint="cs"/>
                <w:rtl/>
              </w:rPr>
              <w:t xml:space="preserve"> ارزیابی عملکرد</w:t>
            </w:r>
            <w:r>
              <w:rPr>
                <w:rFonts w:hint="cs"/>
                <w:rtl/>
              </w:rPr>
              <w:t xml:space="preserve"> کارکنان بر اساس نوع شغل</w:t>
            </w:r>
          </w:p>
        </w:tc>
      </w:tr>
      <w:tr w:rsidR="00C84ACB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کارآمد پرداخت کارکنان</w:t>
            </w:r>
          </w:p>
        </w:tc>
      </w:tr>
      <w:tr w:rsidR="00C84ACB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سنجش کارایی و اثربخشی فعالیتهای کارکنان</w:t>
            </w:r>
          </w:p>
        </w:tc>
      </w:tr>
      <w:tr w:rsidR="00C84ACB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تامین خدمات حجمی تخصصی پزشکی متمرکز</w:t>
            </w:r>
          </w:p>
        </w:tc>
      </w:tr>
      <w:tr w:rsidR="00C84ACB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سیستم برنامه ریزی و تخصیص بهینه نیروی انسانی</w:t>
            </w:r>
          </w:p>
        </w:tc>
      </w:tr>
      <w:tr w:rsidR="00C84ACB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تامین خدمات عمومی مشترک دستگاههای دولتی</w:t>
            </w:r>
          </w:p>
        </w:tc>
      </w:tr>
      <w:tr w:rsidR="00C84ACB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طراحی و استقرار مدل چرخش شغلی، ارتقاء شغلی، جایگزین پروری در نظام سلامت</w:t>
            </w:r>
          </w:p>
        </w:tc>
      </w:tr>
      <w:tr w:rsidR="00C84ACB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C84ACB" w:rsidP="005E7ED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8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5E7ED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5E7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نظام سنجش ارزش خدمات تخصصی پزشکی و پیراپزشکی</w:t>
            </w:r>
          </w:p>
        </w:tc>
      </w:tr>
      <w:tr w:rsidR="00C84ACB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9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84ACB" w:rsidRDefault="00C84ACB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ارتقاء سطح کیفی و عملیاتی سامانه های آموزشی موجود</w:t>
            </w:r>
          </w:p>
        </w:tc>
      </w:tr>
      <w:tr w:rsidR="00C84ACB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84ACB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10</w:t>
            </w:r>
          </w:p>
        </w:tc>
        <w:tc>
          <w:tcPr>
            <w:tcW w:w="754" w:type="dxa"/>
            <w:vMerge/>
            <w:shd w:val="clear" w:color="auto" w:fill="B4C6E7" w:themeFill="accent5" w:themeFillTint="66"/>
            <w:textDirection w:val="tbRl"/>
          </w:tcPr>
          <w:p w:rsidR="00C84ACB" w:rsidRDefault="00C84ACB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84ACB" w:rsidRDefault="00C84ACB" w:rsidP="00A060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ارتقاء نظام آموزشی فعلی کارکنان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11</w:t>
            </w:r>
          </w:p>
        </w:tc>
        <w:tc>
          <w:tcPr>
            <w:tcW w:w="754" w:type="dxa"/>
            <w:vMerge w:val="restart"/>
            <w:shd w:val="clear" w:color="auto" w:fill="00B0F0"/>
            <w:textDirection w:val="tbRl"/>
          </w:tcPr>
          <w:p w:rsidR="00C5005D" w:rsidRDefault="00C5005D" w:rsidP="00C5005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کنترل موجودی انبار و کالا</w:t>
            </w: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تامین، نگهداری و توزیع متمرکز لوازم مصرفی مراکز بر اساس نیاز سنجی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12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 توزیع خون و فراورده های خونی فساد پذیر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13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 تامین و توزیع داروهای بیمارستانی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14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جانمایی و تامین بهینه فضای انبارهای پراکنده 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15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نظام انبارداری هوشمند در سطح واحدهای پراکنده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16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پیاده سازی زنجیره تامین هوشمند برای انبارهای پراکنده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17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بهبود نظام کنترل موجودی جامع کالاهای مراکز زیرمجموعه دانشگاه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18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تجمیع روشها و مدل های متنوع موجود کنترل موجودی مراکز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19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متمرکز خرید و تامین مواد مصرفی مراکز زیر مجموعه دانشگاه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20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بهینه یابی روند خرید اقلام پر مصرف مشترک دولتی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21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پیاده سازی زنجیره تامین اقلام خرید مراکز زیر مجموعه دانشگاه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22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شیوه های تخفیف جمعی جهت تامین اقلام مورد نیاز گروهی کارکنان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C84ACB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23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C84ACB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C84A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برنامه ریزی استفاده از مشترک از خدمات مراکز رفاهی با استفاده از شیوه ت</w:t>
            </w:r>
            <w:r w:rsidR="00AB2307">
              <w:rPr>
                <w:rFonts w:hint="cs"/>
                <w:rtl/>
              </w:rPr>
              <w:t>خ</w:t>
            </w:r>
            <w:r>
              <w:rPr>
                <w:rFonts w:hint="cs"/>
                <w:rtl/>
              </w:rPr>
              <w:t>فیف جمعی</w:t>
            </w:r>
          </w:p>
        </w:tc>
      </w:tr>
      <w:tr w:rsidR="00C5005D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24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ED7529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ED75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تشخیص و توزیع و اطلاع رسانی متناسب داروهای کمیاب</w:t>
            </w:r>
          </w:p>
        </w:tc>
      </w:tr>
      <w:tr w:rsidR="00C5005D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5005D" w:rsidRPr="00E913CB" w:rsidRDefault="00373B2F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25</w:t>
            </w:r>
          </w:p>
        </w:tc>
        <w:tc>
          <w:tcPr>
            <w:tcW w:w="754" w:type="dxa"/>
            <w:vMerge/>
            <w:shd w:val="clear" w:color="auto" w:fill="00B0F0"/>
            <w:textDirection w:val="tbRl"/>
          </w:tcPr>
          <w:p w:rsidR="00C5005D" w:rsidRDefault="00C5005D" w:rsidP="00ED7529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5005D" w:rsidRDefault="00C5005D" w:rsidP="00ED75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نظام تامین و توزیع بهینه دارو بین مراکز زیر مجموعه دانشگاه 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26</w:t>
            </w:r>
          </w:p>
        </w:tc>
        <w:tc>
          <w:tcPr>
            <w:tcW w:w="754" w:type="dxa"/>
            <w:vMerge w:val="restart"/>
            <w:shd w:val="clear" w:color="auto" w:fill="FFE599" w:themeFill="accent4" w:themeFillTint="66"/>
            <w:textDirection w:val="tbRl"/>
          </w:tcPr>
          <w:p w:rsidR="00C7679C" w:rsidRDefault="00C7679C" w:rsidP="000722B5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حمل و نقل و صف</w:t>
            </w:r>
          </w:p>
        </w:tc>
        <w:tc>
          <w:tcPr>
            <w:tcW w:w="9457" w:type="dxa"/>
          </w:tcPr>
          <w:p w:rsidR="00C7679C" w:rsidRDefault="00C7679C" w:rsidP="00ED75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توسعه حوزه کاربران و عملکرد نوبت دهی الکترونیک مراکز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27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D7529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D75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ارتقاء سطح کیفی و اثربخشی نوبت دهی های حضوری و الکترونیک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28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D7529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D75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تعیین کاربران بهینه تخصیص داده شده به باجه های پاسخگویی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29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D7529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D75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تعیین زمانبندی بهینه و افزایش کارایی باجه های پاسخگویی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D7529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30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D7529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D75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استاندارد سازی خدمات، زمان و هزینه های برآوردی تیپ بیماران مراکز سلامت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31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پیاده سازی مدل های حمل و نقل جهت تامین بهینه خودرو مشترک مراکز دولتی </w:t>
            </w:r>
          </w:p>
        </w:tc>
      </w:tr>
      <w:tr w:rsidR="00C7679C" w:rsidTr="00EF0F3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32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تعیین تعداد خدمت دهندگان بهینه با استفاده از تئوری صف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33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مسیر یابی بهینه سرویس های ایاب و ذهاب کارکنا ن و اشتراک مراکز هم مسیر</w:t>
            </w:r>
          </w:p>
        </w:tc>
      </w:tr>
      <w:tr w:rsidR="00C7679C" w:rsidTr="00EF0F3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34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پیاده سازی سامانه های حمل و نقل اینترنتی سازمانی </w:t>
            </w:r>
            <w:r>
              <w:rPr>
                <w:rFonts w:hint="cs"/>
                <w:rtl/>
                <w:lang w:bidi="fa-IR"/>
              </w:rPr>
              <w:t>با استفاده از</w:t>
            </w:r>
            <w:r>
              <w:rPr>
                <w:rFonts w:hint="cs"/>
                <w:rtl/>
              </w:rPr>
              <w:t xml:space="preserve"> خودروهای خصوصی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35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شناسایی و اختصاص بهینه فضا های شهری جهت دسترسی سریع به خدمات سلامت</w:t>
            </w:r>
          </w:p>
        </w:tc>
      </w:tr>
      <w:tr w:rsidR="00C7679C" w:rsidTr="00EF0F3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36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بهینه یابی مسیرهای تردد بین مراکز سلامت درون شهری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EF0F3E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37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EF0F3E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EF0F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مکان یابی بهینه موقعیت استقرار واحدهای همجوار درون سازمانی </w:t>
            </w:r>
          </w:p>
        </w:tc>
      </w:tr>
      <w:tr w:rsidR="00C7679C" w:rsidTr="00C7679C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bookmarkStart w:id="0" w:name="_GoBack"/>
            <w:bookmarkEnd w:id="0"/>
            <w:r w:rsidRPr="00E913CB">
              <w:rPr>
                <w:rFonts w:hint="cs"/>
                <w:sz w:val="18"/>
                <w:szCs w:val="16"/>
                <w:rtl/>
              </w:rPr>
              <w:t>38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طراحی نظام جامع ارجاع و پیگیری بیماران و ارتقاء نظام پزشک خانواده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lastRenderedPageBreak/>
              <w:t>39</w:t>
            </w:r>
          </w:p>
        </w:tc>
        <w:tc>
          <w:tcPr>
            <w:tcW w:w="754" w:type="dxa"/>
            <w:vMerge w:val="restart"/>
            <w:shd w:val="clear" w:color="auto" w:fill="FFE599" w:themeFill="accent4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سرمایه گذاری و درآمدزایی</w:t>
            </w: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بهینه یابی شیوه تخصیص منابع بودجه ای بر اساس اولویت و اهمیت </w:t>
            </w:r>
          </w:p>
        </w:tc>
      </w:tr>
      <w:tr w:rsidR="00C7679C" w:rsidTr="00C7679C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40</w:t>
            </w:r>
          </w:p>
        </w:tc>
        <w:tc>
          <w:tcPr>
            <w:tcW w:w="754" w:type="dxa"/>
            <w:vMerge/>
            <w:shd w:val="clear" w:color="auto" w:fill="FFE599" w:themeFill="accent4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ارزیابی شیوه های تامین مالی مشترک  اجرای پروژه های عمران و توسعه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41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الگوهای درآمد زایی از امکانات موجود  در بخش درمان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42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بهینه یابی زنجیره تامین توریسم سلامت در استان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43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الگوهای درآمد زایی از زیرساختها و امکانات غیر درمانی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44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الگو های درآمد زایی از املاک دانشگاه به روش مشارکت در ساخت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45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مدل های سرمایه گذاری مشارکتی کارکنان با توجه به بودجه در اختیار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46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شناسایی و اختصاص بهینه منابع خیریه به مددجویان و پروژه های خیرساز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47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نظام شایسته سنجی و شناسایی و اولویت بندی مددجویان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48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تدوین و پیاده سازی بانک اطلاعات جامع مددجویان مشترک سازمانهای حمایتی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49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طراحی سیستم تامین مالی اعتباری  هزینه و تجهیزات درمانی بیماران مزمن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50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نظام ساماندهی بیماران دارای شرایط ویژه بین سازمانهای مسئول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51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تعیین هزینه تمام شده خدمات مراکز زیر مجموعه دانشگاه جهت واگذاری به بخش خصوصی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52</w:t>
            </w:r>
          </w:p>
        </w:tc>
        <w:tc>
          <w:tcPr>
            <w:tcW w:w="754" w:type="dxa"/>
            <w:vMerge/>
            <w:shd w:val="clear" w:color="auto" w:fill="FFC00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ارزیابی هزینه اثربخشی واگذاری خدمات تامین و توزیع تغذیه به بخش خصوصی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53</w:t>
            </w:r>
          </w:p>
        </w:tc>
        <w:tc>
          <w:tcPr>
            <w:tcW w:w="754" w:type="dxa"/>
            <w:vMerge w:val="restart"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محیط زیست و </w:t>
            </w:r>
            <w:r w:rsidRPr="00781EDD">
              <w:rPr>
                <w:rtl/>
                <w:lang w:bidi="fa-IR"/>
              </w:rPr>
              <w:t>مصرف انرژ</w:t>
            </w:r>
            <w:r w:rsidRPr="00781EDD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ارزیابی هزینه اثربخشی استفاده از تجهیزات نوین تولید و مصرف انرژی در مراکز سلامت</w:t>
            </w:r>
          </w:p>
        </w:tc>
      </w:tr>
      <w:tr w:rsidR="00C7679C" w:rsidTr="00EF0F3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54</w:t>
            </w:r>
          </w:p>
        </w:tc>
        <w:tc>
          <w:tcPr>
            <w:tcW w:w="754" w:type="dxa"/>
            <w:vMerge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شیوه های جلوگیری از اتلاف انرژی در مراکز زیر مجموعه دانشگاه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55</w:t>
            </w:r>
          </w:p>
        </w:tc>
        <w:tc>
          <w:tcPr>
            <w:tcW w:w="754" w:type="dxa"/>
            <w:vMerge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راهکارهای کاهش مصرف انرژی و سنجش هزینه فایده آن</w:t>
            </w:r>
          </w:p>
        </w:tc>
      </w:tr>
      <w:tr w:rsidR="00C7679C" w:rsidTr="00EF0F3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56</w:t>
            </w:r>
          </w:p>
        </w:tc>
        <w:tc>
          <w:tcPr>
            <w:tcW w:w="754" w:type="dxa"/>
            <w:vMerge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سامانه های تامین و بازتولید مصرف انرژی از منابع داخلی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57</w:t>
            </w:r>
          </w:p>
        </w:tc>
        <w:tc>
          <w:tcPr>
            <w:tcW w:w="754" w:type="dxa"/>
            <w:vMerge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سیستمهای جدید امحای زباله های عفونی و پسماند متمرکز و پراکنده</w:t>
            </w:r>
          </w:p>
        </w:tc>
      </w:tr>
      <w:tr w:rsidR="00C7679C" w:rsidTr="00EF0F3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58</w:t>
            </w:r>
          </w:p>
        </w:tc>
        <w:tc>
          <w:tcPr>
            <w:tcW w:w="754" w:type="dxa"/>
            <w:vMerge/>
            <w:shd w:val="clear" w:color="auto" w:fill="C5E0B3" w:themeFill="accent6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درآمد زایی و کاهش عوارض محیط زیستی از طریق بازیافت اقلام مصرفی عمده و تجهیزات مستهلک مراکز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59</w:t>
            </w:r>
          </w:p>
        </w:tc>
        <w:tc>
          <w:tcPr>
            <w:tcW w:w="754" w:type="dxa"/>
            <w:vMerge w:val="restart"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هوشمند سازی و الکترونیک کردن فرآیندها</w:t>
            </w: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سیستمهای پیشرفته بیمارستان های هوشمند در مراکز زیر مجموع دانشگاهها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60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راهکارهای اثبات اسناد قانونی پزشکی بصورت الکترونیک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61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نظام یکپارچه پرونده الکترونیک بیماران در بیمارستانها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62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ارزیابی هزینه فایده پیاده سازی نظام پرونده الکترونیک بیماران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63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64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طراحی نظام طبقه بندی بیماران بر اساس شرایط و سوابق جهت تسریع روند رسیدگی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65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طراحی سیستم تشخیص و ثبت و پیگیری خطا و نواقص پرونده مراجعین نظام سلامت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66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طراحی و پیاده سازی نظام ارسال و تایید اسناد پزشکی بین دستگاههای ذیربط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67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اتصال سامانه های جانبی تصویربرداری، آزمایشگاه، داروخانه، مالی، ثبت احوال ، بیمه و </w:t>
            </w:r>
            <w:r>
              <w:t>HIS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68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ارتقاء نرم افزارهای جامع بیمارستانی، مالی، اداری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69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پیاده سازی راه حل های نرم افزاری جدید با استفاده از مشترکات موجود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70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سفارشی سازی نرم افزارهای موجود در بازار </w:t>
            </w:r>
            <w:r>
              <w:rPr>
                <w:rFonts w:hint="cs"/>
                <w:rtl/>
                <w:lang w:bidi="fa-IR"/>
              </w:rPr>
              <w:t>طبق اولویت دانشگاه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71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سیستم جامع بیمه های درمانی متصل به سامانه اطلاعات بیماران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72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طراحی سیستم یکپارچه اطلاعات آموزشی برای بیماران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73</w:t>
            </w:r>
          </w:p>
        </w:tc>
        <w:tc>
          <w:tcPr>
            <w:tcW w:w="754" w:type="dxa"/>
            <w:vMerge/>
            <w:shd w:val="clear" w:color="auto" w:fill="92D050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نظام یکپارچه نظارت های داخلی و بیرونی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74</w:t>
            </w:r>
          </w:p>
        </w:tc>
        <w:tc>
          <w:tcPr>
            <w:tcW w:w="754" w:type="dxa"/>
            <w:vMerge/>
            <w:shd w:val="clear" w:color="auto" w:fill="92D050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تجمیع نظام های ارزیابی و نظارت بر واحدهای صنفی در قالب سامانه یکپارچه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75</w:t>
            </w:r>
          </w:p>
        </w:tc>
        <w:tc>
          <w:tcPr>
            <w:tcW w:w="754" w:type="dxa"/>
            <w:vMerge/>
            <w:shd w:val="clear" w:color="auto" w:fill="92D050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تدوین نظام اختصاص درجه کیفی عملکرد به واحدهای صنفی و دولتی 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76</w:t>
            </w:r>
          </w:p>
        </w:tc>
        <w:tc>
          <w:tcPr>
            <w:tcW w:w="754" w:type="dxa"/>
            <w:vMerge/>
            <w:shd w:val="clear" w:color="auto" w:fill="92D050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نرم افزار های موبایل با کاربری حوزه سلامت 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77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تجهیزات</w:t>
            </w: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استفاده بهینه از تجهیزات از طریق تعمیر به جای تعویض</w:t>
            </w:r>
          </w:p>
        </w:tc>
      </w:tr>
      <w:tr w:rsidR="00C7679C" w:rsidTr="00EF0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  <w:r w:rsidRPr="00E913CB">
              <w:rPr>
                <w:rFonts w:hint="cs"/>
                <w:sz w:val="18"/>
                <w:szCs w:val="16"/>
                <w:rtl/>
              </w:rPr>
              <w:t>78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باز مهندسی و مهندسی معکوس ابزارها و تجهیزات پزشکی</w:t>
            </w:r>
          </w:p>
        </w:tc>
      </w:tr>
      <w:tr w:rsidR="00C7679C" w:rsidTr="00EF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:rsidR="00C7679C" w:rsidRPr="00E913CB" w:rsidRDefault="00C7679C" w:rsidP="00C7679C">
            <w:pPr>
              <w:bidi/>
              <w:rPr>
                <w:sz w:val="18"/>
                <w:szCs w:val="16"/>
                <w:rtl/>
              </w:rPr>
            </w:pPr>
          </w:p>
        </w:tc>
        <w:tc>
          <w:tcPr>
            <w:tcW w:w="754" w:type="dxa"/>
            <w:vMerge/>
            <w:shd w:val="clear" w:color="auto" w:fill="F7CAAC" w:themeFill="accent2" w:themeFillTint="66"/>
            <w:textDirection w:val="tbRl"/>
          </w:tcPr>
          <w:p w:rsidR="00C7679C" w:rsidRDefault="00C7679C" w:rsidP="00C7679C">
            <w:pPr>
              <w:bidi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457" w:type="dxa"/>
          </w:tcPr>
          <w:p w:rsidR="00C7679C" w:rsidRDefault="00C7679C" w:rsidP="00C767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تامین منابع از طریق اشتراک تجهیزات سنگین بین مراکز بر اساس ظرفیت و فاصله </w:t>
            </w:r>
          </w:p>
        </w:tc>
      </w:tr>
    </w:tbl>
    <w:p w:rsidR="004D5AF4" w:rsidRDefault="00C7679C" w:rsidP="008E0081">
      <w:pPr>
        <w:bidi/>
      </w:pPr>
    </w:p>
    <w:sectPr w:rsidR="004D5AF4" w:rsidSect="008C0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81"/>
    <w:rsid w:val="00047C6A"/>
    <w:rsid w:val="000610A9"/>
    <w:rsid w:val="000722B5"/>
    <w:rsid w:val="000F0DFB"/>
    <w:rsid w:val="000F24C9"/>
    <w:rsid w:val="001251C5"/>
    <w:rsid w:val="00186DE5"/>
    <w:rsid w:val="00197803"/>
    <w:rsid w:val="001D21C4"/>
    <w:rsid w:val="001D3DCF"/>
    <w:rsid w:val="001E79C9"/>
    <w:rsid w:val="00201A1A"/>
    <w:rsid w:val="002074EE"/>
    <w:rsid w:val="0021601D"/>
    <w:rsid w:val="00226D0E"/>
    <w:rsid w:val="00240A15"/>
    <w:rsid w:val="002731A8"/>
    <w:rsid w:val="00310A82"/>
    <w:rsid w:val="00320201"/>
    <w:rsid w:val="00373B2F"/>
    <w:rsid w:val="003B1774"/>
    <w:rsid w:val="003E5DD2"/>
    <w:rsid w:val="003F5949"/>
    <w:rsid w:val="004158D5"/>
    <w:rsid w:val="00421034"/>
    <w:rsid w:val="004468D1"/>
    <w:rsid w:val="00493075"/>
    <w:rsid w:val="00512358"/>
    <w:rsid w:val="00550299"/>
    <w:rsid w:val="00551CD9"/>
    <w:rsid w:val="00576E40"/>
    <w:rsid w:val="005951EE"/>
    <w:rsid w:val="005B4814"/>
    <w:rsid w:val="005E7EDE"/>
    <w:rsid w:val="00656D46"/>
    <w:rsid w:val="006800CC"/>
    <w:rsid w:val="007627DC"/>
    <w:rsid w:val="007659EF"/>
    <w:rsid w:val="007677F8"/>
    <w:rsid w:val="00781EDD"/>
    <w:rsid w:val="007E1AE9"/>
    <w:rsid w:val="00802FF2"/>
    <w:rsid w:val="00824327"/>
    <w:rsid w:val="00844745"/>
    <w:rsid w:val="00851B1D"/>
    <w:rsid w:val="00886E06"/>
    <w:rsid w:val="008B79B0"/>
    <w:rsid w:val="008C02E4"/>
    <w:rsid w:val="008E0081"/>
    <w:rsid w:val="008E14F0"/>
    <w:rsid w:val="008E7B8F"/>
    <w:rsid w:val="00933F45"/>
    <w:rsid w:val="0099420B"/>
    <w:rsid w:val="009B04C6"/>
    <w:rsid w:val="009C4647"/>
    <w:rsid w:val="009F1C93"/>
    <w:rsid w:val="00A06025"/>
    <w:rsid w:val="00A21DC3"/>
    <w:rsid w:val="00A8064A"/>
    <w:rsid w:val="00AB2159"/>
    <w:rsid w:val="00AB2307"/>
    <w:rsid w:val="00AB77E3"/>
    <w:rsid w:val="00B21A33"/>
    <w:rsid w:val="00B91ABB"/>
    <w:rsid w:val="00C03F39"/>
    <w:rsid w:val="00C35DED"/>
    <w:rsid w:val="00C5005D"/>
    <w:rsid w:val="00C7679C"/>
    <w:rsid w:val="00C84ACB"/>
    <w:rsid w:val="00CA2666"/>
    <w:rsid w:val="00CC7BC8"/>
    <w:rsid w:val="00CD0568"/>
    <w:rsid w:val="00D00E88"/>
    <w:rsid w:val="00D41377"/>
    <w:rsid w:val="00D416D2"/>
    <w:rsid w:val="00D41A1A"/>
    <w:rsid w:val="00D75EC9"/>
    <w:rsid w:val="00DB492C"/>
    <w:rsid w:val="00DB640F"/>
    <w:rsid w:val="00E652ED"/>
    <w:rsid w:val="00E71956"/>
    <w:rsid w:val="00E913CB"/>
    <w:rsid w:val="00E97809"/>
    <w:rsid w:val="00ED7529"/>
    <w:rsid w:val="00EF0F3E"/>
    <w:rsid w:val="00EF4B80"/>
    <w:rsid w:val="00F341F8"/>
    <w:rsid w:val="00F70C1D"/>
    <w:rsid w:val="00FA0528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E2F8-79AE-4325-B8F6-9CF9CCA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E913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گورکی</dc:creator>
  <cp:keywords/>
  <dc:description/>
  <cp:lastModifiedBy>احسان گورکی</cp:lastModifiedBy>
  <cp:revision>43</cp:revision>
  <dcterms:created xsi:type="dcterms:W3CDTF">2022-06-25T05:02:00Z</dcterms:created>
  <dcterms:modified xsi:type="dcterms:W3CDTF">2022-07-20T03:26:00Z</dcterms:modified>
</cp:coreProperties>
</file>